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52B1E"/>
          <w:sz w:val="18"/>
          <w:szCs w:val="18"/>
        </w:rPr>
        <w:t xml:space="preserve">GRANT PREPARATION TEMPLATE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C1C1C"/>
          <w:sz w:val="40"/>
          <w:szCs w:val="40"/>
        </w:rPr>
        <w:t xml:space="preserve">Job Redesign Project Brief (WDG Job Redesign+)</w:t>
      </w:r>
    </w:p>
    <w:p>
      <w:pPr>
        <w:spacing w:after="120"/>
      </w:pPr>
      <w:r>
        <w:rPr>
          <w:rFonts w:ascii="Arial" w:cs="Arial" w:eastAsia="Arial" w:hAnsi="Arial"/>
          <w:color w:val="5F6368"/>
          <w:sz w:val="21"/>
          <w:szCs w:val="21"/>
        </w:rPr>
        <w:t xml:space="preserve">Plan a job redesign project under the SkillsFuture Workforce Development Grant (Job Redesign+): which roles change, why, and what the pre-approved consultant will deliver.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SkillsFuture Workforce Development Grant (Job Redesign+)</w:t>
            </w:r>
          </w:p>
        </w:tc>
        <w:tc>
          <w:tcPr>
            <w:tcW w:type="dxa" w:w="6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70% for SMEs, 50% for non-SMEs, capped at $150,000 per enterprise. Component caps: Workforce Consultancy up to $50,000; Capability Building Initiatives up to $60,000; Workforce Tech Solutions up to $90,000 (must be bundled with at least one other component).  Official page: https://www.ourworkforce.gov.sg/programmes-directory/programme/workforce-development-grant-job-redesign-plus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Grey italic text is guidance. Replace it with your own answers.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This is a preparation aid, not the official application form. Submit on the official portal; its questions may differ.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Ask our AI Grant Expert at businessgrants.sg/check if you are unsure which grant fits.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1. Applicant details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Use the exact company name and UEN shown on your ACRA bizfile. Vendor quotations must be addressed to this name.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company name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As shown on ACRA bizfile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UEN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201912345K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address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Contact person, role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Name, designation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Email / phone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Industry (SSIC) and main activity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annual sales (latest FY)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S$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employment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Total headcount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employees (SC/PR)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From CPF contribution records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shareholding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% held by Singapore citizens / PRs (most grants need at least 30%)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2. Why redesign jobs now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Link the redesign to a business change: new technology, automation, growth, or difficulty hiring.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Business driver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Related technology or process change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new ordering system, automation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Expected business outcome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3. Roles in scope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200"/>
        <w:gridCol w:w="2900"/>
        <w:gridCol w:w="2926"/>
      </w:tblGrid>
      <w:tr>
        <w:trPr>
          <w:tblHeader/>
        </w:trPr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Current role</w:t>
            </w:r>
          </w:p>
        </w:tc>
        <w:tc>
          <w:tcPr>
            <w:tcW w:type="dxa" w:w="1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No. of staff</w:t>
            </w:r>
          </w:p>
        </w:tc>
        <w:tc>
          <w:tcPr>
            <w:tcW w:type="dxa" w:w="2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Main tasks today</w:t>
            </w:r>
          </w:p>
        </w:tc>
        <w:tc>
          <w:tcPr>
            <w:tcW w:type="dxa" w:w="29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Redesigned role and new tasks</w:t>
            </w:r>
          </w:p>
        </w:tc>
      </w:tr>
      <w:tr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9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9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9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9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4. Components and costs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Choose the components you need. Workforce tech solutions must be bundled with at least one other component.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  <w:gridCol w:w="2600"/>
        <w:gridCol w:w="1626"/>
      </w:tblGrid>
      <w:tr>
        <w:trPr>
          <w:tblHeader/>
        </w:trP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Component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Consultant / provider</w:t>
            </w:r>
          </w:p>
        </w:tc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Deliverables</w:t>
            </w:r>
          </w:p>
        </w:tc>
        <w:tc>
          <w:tcPr>
            <w:tcW w:type="dxa" w:w="1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Cost (S$)</w:t>
            </w:r>
          </w:p>
        </w:tc>
      </w:tr>
      <w:t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Workforce consultancy (job redesign assessment, workforce strategy, implementation plan) – cap S$50,000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Capability building for line managers and HR – cap S$60,000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Workforce tech solutions (HR tech, analytics) – cap S$90,000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Total (overall cap S$150,000)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5. Milestones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Funding is paid to the consultant against approved milestones, so agree clear deliverables up front.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800"/>
        <w:gridCol w:w="1600"/>
        <w:gridCol w:w="2226"/>
      </w:tblGrid>
      <w:tr>
        <w:trPr>
          <w:tblHeader/>
        </w:trPr>
        <w:tc>
          <w:tcPr>
            <w:tcW w:type="dxa" w:w="2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Milestone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Deliverable</w:t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Target date</w:t>
            </w:r>
          </w:p>
        </w:tc>
        <w:tc>
          <w:tcPr>
            <w:tcW w:type="dxa" w:w="22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Evidence</w:t>
            </w:r>
          </w:p>
        </w:tc>
      </w:tr>
      <w:tr>
        <w:tc>
          <w:tcPr>
            <w:tcW w:type="dxa" w:w="2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2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2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2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2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6. Measuring success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000"/>
        <w:gridCol w:w="2000"/>
        <w:gridCol w:w="2426"/>
      </w:tblGrid>
      <w:tr>
        <w:trPr>
          <w:tblHeader/>
        </w:trP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Measure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Before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Target after</w:t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How measured</w:t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Productivity (e.g. output per worker)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Staff retention / turnover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Wage or role upgrades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Document checklist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Collect these before you start the online application.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626"/>
        <w:gridCol w:w="2800"/>
      </w:tblGrid>
      <w:tr>
        <w:trPr>
          <w:tblHeader/>
        </w:trP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✓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Document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Status / notes</w:t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Project proposal and quotation from a pre-approved consultant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Company ACRA business profile / UEN details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Proof of at least three local (SC/PR) employees, e.g. CPF contribution records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Latest financial statements or management accounts (for SME status)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Corppass account for BGP 2.0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Milestone deliverables and progress reports (for disbursement)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Before you apply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Apply BEFORE you sign contracts, place orders or pay deposits. Costs committed before the application date are usually not supported.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Applications are submitted on the official portal (Business Grants Portal or the agency's own) with Corppass. This template only helps you prepare.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You need at least 3 local (SC/PR) employees.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From 1 Dec 2026, the enhanced SkillsFuture Enterprise Credit can offset up to 90% of your out-of-pocket share.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Rules change often. Confirm the current terms on the official page. Information checked 23 Oct 2026.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F6368"/>
        <w:sz w:val="15"/>
        <w:szCs w:val="15"/>
      </w:rPr>
      <w:t xml:space="preserve">Unofficial template by BusinessGrants.sg (Cortexum AI Pte Ltd). Not a government form. Help: hello@businessgrants.sg   ·   Page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PAGE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  <w:r>
      <w:rPr>
        <w:rFonts w:ascii="Arial" w:cs="Arial" w:eastAsia="Arial" w:hAnsi="Arial"/>
        <w:color w:val="5F6368"/>
        <w:sz w:val="15"/>
        <w:szCs w:val="15"/>
      </w:rPr>
      <w:t xml:space="preserve"> of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2B1E" w:sz="12" w:space="4"/>
      </w:pBdr>
      <w:jc w:val="right"/>
    </w:pPr>
    <w:r>
      <w:rPr>
        <w:rFonts w:ascii="Arial" w:cs="Arial" w:eastAsia="Arial" w:hAnsi="Arial"/>
        <w:b/>
        <w:bCs/>
        <w:color w:val="1C1C1C"/>
        <w:sz w:val="18"/>
        <w:szCs w:val="18"/>
      </w:rPr>
      <w:t xml:space="preserve">BusinessGrants</w:t>
    </w:r>
    <w:r>
      <w:rPr>
        <w:rFonts w:ascii="Arial" w:cs="Arial" w:eastAsia="Arial" w:hAnsi="Arial"/>
        <w:b/>
        <w:bCs/>
        <w:color w:val="D52B1E"/>
        <w:sz w:val="18"/>
        <w:szCs w:val="18"/>
      </w:rPr>
      <w:t xml:space="preserve">.sg</w:t>
    </w:r>
    <w:r>
      <w:rPr>
        <w:rFonts w:ascii="Arial" w:cs="Arial" w:eastAsia="Arial" w:hAnsi="Arial"/>
        <w:color w:val="5F6368"/>
        <w:sz w:val="16"/>
        <w:szCs w:val="16"/>
      </w:rPr>
      <w:t xml:space="preserve">   Grant preparation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Redesign Project Brief (WDG Job Redesign+)</dc:title>
  <dc:creator>BusinessGrants.sg</dc:creator>
  <dc:description>Unofficial grant preparation template by BusinessGrants.sg</dc:description>
  <cp:lastModifiedBy>Un-named</cp:lastModifiedBy>
  <cp:revision>1</cp:revision>
  <dcterms:created xsi:type="dcterms:W3CDTF">2026-10-23T10:44:12.070Z</dcterms:created>
  <dcterms:modified xsi:type="dcterms:W3CDTF">2026-10-23T10:44:12.070Z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